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24F4" w14:textId="77777777" w:rsidR="00917791" w:rsidRDefault="00917791" w:rsidP="00A33311">
      <w:pPr>
        <w:jc w:val="center"/>
      </w:pPr>
      <w:r>
        <w:rPr>
          <w:rFonts w:ascii="Times New Roman" w:eastAsiaTheme="minorEastAsia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6F18962F" wp14:editId="1D467533">
            <wp:extent cx="6176645" cy="853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878C" w14:textId="77777777" w:rsidR="00A33311" w:rsidRPr="00A33311" w:rsidRDefault="00A33311" w:rsidP="00A33311">
      <w:pPr>
        <w:contextualSpacing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>MINISTRIA E DREJTËSISË</w:t>
      </w:r>
    </w:p>
    <w:p w14:paraId="656FD6B4" w14:textId="77777777" w:rsidR="00A33311" w:rsidRDefault="00A33311" w:rsidP="00A333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>DREJTORIA E NDIHMËS JURIDIKE FALAS</w:t>
      </w:r>
    </w:p>
    <w:p w14:paraId="0E8CB739" w14:textId="77777777" w:rsidR="00A33311" w:rsidRPr="00A33311" w:rsidRDefault="00A33311" w:rsidP="00A333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>DREJTORIA E ZBATIMIT TË POLITIKAVE DHE ADMINISTRIMIT TË NDIHMËS PARËSORE</w:t>
      </w:r>
    </w:p>
    <w:p w14:paraId="475DB489" w14:textId="77777777" w:rsidR="00A33311" w:rsidRPr="00A33311" w:rsidRDefault="00A33311" w:rsidP="00A333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 xml:space="preserve">SEKTORI I </w:t>
      </w:r>
      <w:r w:rsidR="00687716">
        <w:rPr>
          <w:rFonts w:ascii="Times New Roman" w:hAnsi="Times New Roman" w:cs="Times New Roman"/>
          <w:b/>
          <w:sz w:val="24"/>
          <w:szCs w:val="24"/>
          <w:lang w:val="sq-AL"/>
        </w:rPr>
        <w:t>ADMINISTRIMIT TË OFRUESVE TË NDIHMËS JURIDIKE PARËSORE</w:t>
      </w:r>
    </w:p>
    <w:p w14:paraId="70E3D9C3" w14:textId="77777777" w:rsidR="00917791" w:rsidRDefault="00917791"/>
    <w:p w14:paraId="7026008D" w14:textId="77777777" w:rsidR="00917791" w:rsidRDefault="00917791" w:rsidP="00917791">
      <w:pPr>
        <w:pStyle w:val="Heading2"/>
        <w:spacing w:line="360" w:lineRule="auto"/>
        <w:jc w:val="center"/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</w:pP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Regjistri</w:t>
      </w:r>
      <w:proofErr w:type="spellEnd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i</w:t>
      </w:r>
      <w:proofErr w:type="spellEnd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Kë</w:t>
      </w:r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rkesave</w:t>
      </w:r>
      <w:proofErr w:type="spellEnd"/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dhe</w:t>
      </w:r>
      <w:proofErr w:type="spellEnd"/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Pë</w:t>
      </w:r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rgjigjeve</w:t>
      </w:r>
      <w:proofErr w:type="spellEnd"/>
    </w:p>
    <w:p w14:paraId="7CF02505" w14:textId="77777777" w:rsidR="00622B10" w:rsidRPr="00622B10" w:rsidRDefault="00622B10" w:rsidP="00622B10">
      <w:pPr>
        <w:pStyle w:val="Heading6"/>
        <w:rPr>
          <w:rStyle w:val="IntenseReference"/>
          <w:color w:val="2E74B5" w:themeColor="accent1" w:themeShade="BF"/>
          <w:spacing w:val="0"/>
        </w:rPr>
      </w:pPr>
      <w:r w:rsidRPr="00622B10">
        <w:rPr>
          <w:rStyle w:val="IntenseReference"/>
          <w:color w:val="2E74B5" w:themeColor="accent1" w:themeShade="BF"/>
          <w:spacing w:val="0"/>
        </w:rPr>
        <w:t>DREJTORIA E NDIHMËS JURIDIKE FALAS</w:t>
      </w:r>
    </w:p>
    <w:p w14:paraId="23C91E24" w14:textId="78F730A6" w:rsidR="00917791" w:rsidRDefault="00A33311" w:rsidP="008C185C">
      <w:pPr>
        <w:pStyle w:val="Heading2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Viti 2</w:t>
      </w:r>
      <w:r w:rsidR="00E26E43">
        <w:rPr>
          <w:rFonts w:ascii="Times New Roman" w:hAnsi="Times New Roman" w:cs="Times New Roman"/>
          <w:b/>
          <w:sz w:val="28"/>
          <w:szCs w:val="28"/>
        </w:rPr>
        <w:t>026</w:t>
      </w:r>
    </w:p>
    <w:tbl>
      <w:tblPr>
        <w:tblStyle w:val="TableGrid"/>
        <w:tblW w:w="16307" w:type="dxa"/>
        <w:tblInd w:w="-1132" w:type="dxa"/>
        <w:tblLook w:val="04A0" w:firstRow="1" w:lastRow="0" w:firstColumn="1" w:lastColumn="0" w:noHBand="0" w:noVBand="1"/>
      </w:tblPr>
      <w:tblGrid>
        <w:gridCol w:w="937"/>
        <w:gridCol w:w="1608"/>
        <w:gridCol w:w="1843"/>
        <w:gridCol w:w="1559"/>
        <w:gridCol w:w="5685"/>
        <w:gridCol w:w="3118"/>
        <w:gridCol w:w="1557"/>
      </w:tblGrid>
      <w:tr w:rsidR="008C185C" w14:paraId="283CC314" w14:textId="77777777" w:rsidTr="008C185C">
        <w:trPr>
          <w:trHeight w:val="2171"/>
        </w:trPr>
        <w:tc>
          <w:tcPr>
            <w:tcW w:w="937" w:type="dxa"/>
            <w:shd w:val="clear" w:color="auto" w:fill="B4C6E7" w:themeFill="accent5" w:themeFillTint="66"/>
            <w:vAlign w:val="center"/>
          </w:tcPr>
          <w:p w14:paraId="7595FF26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Nr.</w:t>
            </w:r>
          </w:p>
          <w:p w14:paraId="166A5E3A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Rendor</w:t>
            </w:r>
          </w:p>
          <w:p w14:paraId="09AD8FA5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B4C6E7" w:themeFill="accent5" w:themeFillTint="66"/>
            <w:vAlign w:val="center"/>
          </w:tcPr>
          <w:p w14:paraId="626C65BC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Data e</w:t>
            </w:r>
          </w:p>
          <w:p w14:paraId="7387D15C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kërkesës</w:t>
            </w:r>
            <w:proofErr w:type="spellEnd"/>
          </w:p>
          <w:p w14:paraId="3C779E20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53F9F416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Objekti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i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59" w:type="dxa"/>
            <w:shd w:val="clear" w:color="auto" w:fill="B4C6E7" w:themeFill="accent5" w:themeFillTint="66"/>
            <w:vAlign w:val="center"/>
          </w:tcPr>
          <w:p w14:paraId="3715CE41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Data e</w:t>
            </w:r>
          </w:p>
          <w:p w14:paraId="5A965A6B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përgjigjes</w:t>
            </w:r>
            <w:proofErr w:type="spellEnd"/>
          </w:p>
          <w:p w14:paraId="5517ADA9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685" w:type="dxa"/>
            <w:shd w:val="clear" w:color="auto" w:fill="B4C6E7" w:themeFill="accent5" w:themeFillTint="66"/>
            <w:vAlign w:val="center"/>
          </w:tcPr>
          <w:p w14:paraId="086E10BA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3118" w:type="dxa"/>
            <w:shd w:val="clear" w:color="auto" w:fill="B4C6E7" w:themeFill="accent5" w:themeFillTint="66"/>
            <w:vAlign w:val="center"/>
          </w:tcPr>
          <w:p w14:paraId="01846B5E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Mënyra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e</w:t>
            </w:r>
          </w:p>
          <w:p w14:paraId="5017A6AD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përfundimit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të</w:t>
            </w:r>
            <w:proofErr w:type="spellEnd"/>
          </w:p>
          <w:p w14:paraId="36621729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kërkesës</w:t>
            </w:r>
            <w:proofErr w:type="spellEnd"/>
          </w:p>
          <w:p w14:paraId="6C1F5CCE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B4C6E7" w:themeFill="accent5" w:themeFillTint="66"/>
            <w:vAlign w:val="center"/>
          </w:tcPr>
          <w:p w14:paraId="0A382DAC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Tarifa</w:t>
            </w:r>
          </w:p>
        </w:tc>
      </w:tr>
      <w:tr w:rsidR="008C185C" w14:paraId="524DF2A6" w14:textId="77777777" w:rsidTr="00E26E43">
        <w:trPr>
          <w:trHeight w:val="2624"/>
        </w:trPr>
        <w:tc>
          <w:tcPr>
            <w:tcW w:w="937" w:type="dxa"/>
            <w:vAlign w:val="center"/>
          </w:tcPr>
          <w:p w14:paraId="3E149475" w14:textId="77777777" w:rsidR="00917791" w:rsidRPr="005132AC" w:rsidRDefault="00A33311" w:rsidP="00917791">
            <w:pPr>
              <w:jc w:val="center"/>
              <w:rPr>
                <w:rFonts w:ascii="Times New Roman" w:hAnsi="Times New Roman" w:cs="Times New Roman"/>
              </w:rPr>
            </w:pPr>
            <w:r w:rsidRPr="005132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14:paraId="36901D34" w14:textId="37A84294" w:rsidR="00917791" w:rsidRPr="005132AC" w:rsidRDefault="00E26E43" w:rsidP="00917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843" w:type="dxa"/>
            <w:vAlign w:val="center"/>
          </w:tcPr>
          <w:p w14:paraId="73BA6838" w14:textId="1D0C5D10" w:rsidR="00E26E43" w:rsidRPr="00E26E43" w:rsidRDefault="00E26E43" w:rsidP="00E26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26E43">
              <w:rPr>
                <w:rFonts w:ascii="Times New Roman" w:hAnsi="Times New Roman" w:cs="Times New Roman"/>
                <w:lang w:val="en-US"/>
              </w:rPr>
              <w:t>nformacion</w:t>
            </w:r>
            <w:proofErr w:type="spellEnd"/>
            <w:r w:rsidRPr="00E26E43">
              <w:rPr>
                <w:rFonts w:ascii="Times New Roman" w:hAnsi="Times New Roman" w:cs="Times New Roman"/>
                <w:lang w:val="en-US"/>
              </w:rPr>
              <w:t xml:space="preserve"> ne </w:t>
            </w:r>
            <w:proofErr w:type="spellStart"/>
            <w:r w:rsidRPr="00E26E43">
              <w:rPr>
                <w:rFonts w:ascii="Times New Roman" w:hAnsi="Times New Roman" w:cs="Times New Roman"/>
                <w:lang w:val="en-US"/>
              </w:rPr>
              <w:t>lidhje</w:t>
            </w:r>
            <w:proofErr w:type="spellEnd"/>
            <w:r w:rsidRPr="00E26E43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hAnsi="Times New Roman" w:cs="Times New Roman"/>
                <w:lang w:val="en-US"/>
              </w:rPr>
              <w:t>mbeshtetjen</w:t>
            </w:r>
            <w:proofErr w:type="spellEnd"/>
            <w:r w:rsidRPr="00E26E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hAnsi="Times New Roman" w:cs="Times New Roman"/>
                <w:lang w:val="en-US"/>
              </w:rPr>
              <w:t>buxhetore</w:t>
            </w:r>
            <w:proofErr w:type="spellEnd"/>
            <w:r w:rsidRPr="00E26E43">
              <w:rPr>
                <w:rFonts w:ascii="Times New Roman" w:hAnsi="Times New Roman" w:cs="Times New Roman"/>
                <w:lang w:val="en-US"/>
              </w:rPr>
              <w:t xml:space="preserve"> per OJF </w:t>
            </w:r>
          </w:p>
          <w:p w14:paraId="51BD1F6B" w14:textId="7A13D88B" w:rsidR="00917791" w:rsidRPr="005132AC" w:rsidRDefault="00917791" w:rsidP="008C1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F6B294E" w14:textId="6A615CD9" w:rsidR="00917791" w:rsidRPr="005132AC" w:rsidRDefault="00E26E43" w:rsidP="00917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5685" w:type="dxa"/>
            <w:vAlign w:val="center"/>
          </w:tcPr>
          <w:p w14:paraId="4E94F9D2" w14:textId="77777777" w:rsidR="00E26E43" w:rsidRPr="00E26E43" w:rsidRDefault="008C185C" w:rsidP="00E26E43">
            <w:pPr>
              <w:spacing w:after="200" w:line="276" w:lineRule="auto"/>
              <w:jc w:val="both"/>
              <w:rPr>
                <w:rFonts w:eastAsia="Times New Roman"/>
                <w:lang w:val="en-US"/>
              </w:rPr>
            </w:pPr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E26E43" w:rsidRPr="00E26E43">
              <w:rPr>
                <w:rFonts w:eastAsia="Times New Roman"/>
                <w:lang w:val="en-US"/>
              </w:rPr>
              <w:t xml:space="preserve">1. A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keni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ofruar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mbështetje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financiare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për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organizatat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jofitimprurëse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(OJF)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gjatë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E26E43" w:rsidRPr="00E26E43">
              <w:rPr>
                <w:rFonts w:eastAsia="Times New Roman"/>
                <w:lang w:val="en-US"/>
              </w:rPr>
              <w:t>vitit</w:t>
            </w:r>
            <w:proofErr w:type="spellEnd"/>
            <w:r w:rsidR="00E26E43" w:rsidRPr="00E26E43">
              <w:rPr>
                <w:rFonts w:eastAsia="Times New Roman"/>
                <w:lang w:val="en-US"/>
              </w:rPr>
              <w:t xml:space="preserve"> 2025?</w:t>
            </w:r>
          </w:p>
          <w:p w14:paraId="4440D66A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zbatim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VKM nr. 110/2019 “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përcaktimin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procedurave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rregullave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përzgjedhjes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garantuar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përfitojnë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mënyra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tyre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”, pas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përfundimit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procedurave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vlerësimit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dokumentacionit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performancës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përputhje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kriteret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ligjore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fuqi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targetet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minimale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përcaktuara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vitin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Falas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4 (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katër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66E7448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2.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keni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alokuar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vetëm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2025? Sa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ky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disbursua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tek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566FA47A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alokuar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8,000,000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lekë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prej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cilave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tek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disbursua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4,657,145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lekë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405D09D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3.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keni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mbështetëje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cila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forma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3E20C6EA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kontratës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A7BDB79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4. Sa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aplikuar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2025? Ju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lutem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specifikoni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sipas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patur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shumë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se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</w:t>
            </w:r>
            <w:proofErr w:type="spellEnd"/>
          </w:p>
          <w:p w14:paraId="4C9F69FA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aplikuan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8 OJF.</w:t>
            </w:r>
          </w:p>
          <w:p w14:paraId="1AB17E6E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5. Sa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kjo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Ju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lutem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specifikoni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sipas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patur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shumë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se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</w:t>
            </w:r>
            <w:proofErr w:type="spellEnd"/>
          </w:p>
          <w:p w14:paraId="264BF6F0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 OJF-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aplikuan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përfituan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4 (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katër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B4D18C6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6. Cili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disbursuar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total? Ju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lutem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specifikoni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sipas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patur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shumë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se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</w:t>
            </w:r>
            <w:proofErr w:type="spellEnd"/>
          </w:p>
          <w:p w14:paraId="67BC379F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Organizatat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disbursuar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shuma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varësi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projektit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paraqitur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DNJF-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total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disbursuar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4,657,145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lekë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AAECAD8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7. Keni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2025? Cila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baza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ligjore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/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regullatore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rregullon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formë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5EA89284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zbatim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Vendimit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Këshillit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Ministrave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nr. 55,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06.02.2019, “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përcaktimin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procedurave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dokumentacionit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ofrojnë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garantuar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”,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VKM nr. 14,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09.01.2025, “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vendimin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nr. 55,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06.02.2019,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Këshillit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Ministrave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”,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</w:t>
            </w:r>
          </w:p>
          <w:p w14:paraId="0409A7D3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Falas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autorizon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dhënien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1780347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8.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keni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kjo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Cili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lloji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mjedise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trajnime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ndarje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eksperiencash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etj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.)?</w:t>
            </w:r>
          </w:p>
          <w:p w14:paraId="7422620D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>OJF-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fonde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trajnuar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momentin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nënshkrimit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kontratës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lidhur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DNJF-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61893D1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9. Keni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nënshkruar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kontratë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jo-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po,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cila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baza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ligjore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kësaj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mbështetje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57EBB17C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>-Jo</w:t>
            </w:r>
          </w:p>
          <w:p w14:paraId="0804C5DB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10. Cili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monitoruese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total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projekteve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keni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kryer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2025? Ju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lutem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siguroni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listë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kritereve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monitoruese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A2713F0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Organizatat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monitorohen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Falas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përpara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çeljes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fondeve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I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ndarë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4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këste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Kryhet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monitorim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fillestar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vazhdueshëm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834AC91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11. 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bërë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vlerësim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impakti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fondin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disbursuar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keni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raport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tillë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vlerësimi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po,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lutem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bashkëlidhni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7CCEA00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zbatim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VKM nr. 110/2019 “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përcaktimin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procedurave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rregullave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përzgjedhjes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garantuar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përfitojnë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mënyra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tyre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”, pika 22,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detyrimin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raporton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Falas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periodikisht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çdo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3 (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përdorimin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fondeve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përmbushjen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detyrimeve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përcaktuara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kontratën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B39EC19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Bashkëpunimi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OJF-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</w:p>
          <w:p w14:paraId="38235CB7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12. Sa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konsultimeve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publike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realizuara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2025?</w:t>
            </w:r>
          </w:p>
          <w:p w14:paraId="3FA8A5F5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Falas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zhvilluar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konsultimesh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publike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pjesëmarrës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Civile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cilat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mund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përmendim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43F37ACD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dates 18.12.2025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ndryshimet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ligjin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nr. 111/2017 ‘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garantuar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’,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bashkëpunim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Prezencën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OSBE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Shqipëri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ishin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civile.</w:t>
            </w:r>
          </w:p>
          <w:p w14:paraId="6EBAD94B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zhvilluar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eksperti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kontraktuar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Prezenca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OSBE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Shqipëri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zoti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Vangjel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Kosta,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mbledhjes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informacionit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ndryshimet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ligjin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nr. 111/2017 ‘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garantuar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’.</w:t>
            </w:r>
          </w:p>
          <w:p w14:paraId="112F15C0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dates 07.05.2025,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licensuara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hartimin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Programit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Buxhetor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Afatmesëm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2026-2028.</w:t>
            </w:r>
          </w:p>
          <w:p w14:paraId="566211D5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UNHCR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Shqipëri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date 15.12.2025,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Falas,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Klinikave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Ligjit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civile,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ligjin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nr. 111/2017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përfitimin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falas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refugjatët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azilkërkuesit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B53033B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Takim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informues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ë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Falas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Tiranë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‘Cedi’.</w:t>
            </w:r>
          </w:p>
          <w:p w14:paraId="0AAFA2AA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diskutimi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Fier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‘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Platforma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Kombëtare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Gratë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’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prezantimit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plani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veprimi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synim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rritjen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tyre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EFFF807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diskutimi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Lezhë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 ‘Mary Ëard Loretto’,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prezantimit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plani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veprimi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synim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rritjen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tyre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CDAD4BA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diskutimi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Korçë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 ‘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Misioni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Emanuel’,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prezantimit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plani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veprimi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synim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rritjen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tyre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21F8F2E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diskutimi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Vlorë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‘Aulona’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CDC,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prezantimit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plani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veprimi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synim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rritjen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financimi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tyre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FC4A69C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konsultuese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qytetit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Pogradecit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Qendra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Pogradec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63892C7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13. A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koordinator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civile?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po,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lutem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citoni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kontaktin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363A98C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>- Jo</w:t>
            </w:r>
          </w:p>
          <w:p w14:paraId="216C1DC1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14. Sa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marrë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pjesë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publike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Si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informuar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ato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4BBE29F0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28.04.2025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ambjentet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Falas 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mbajt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Ministrisë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Drejtësisë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Drejtorisë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Juridike Falas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Ministri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Drejtësisë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mbajt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zbatim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pikës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8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Udhëzimit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plotësues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nr. 7,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28.02.2025 “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përgatitjen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Programit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Buxhetor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Afatmesëm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2026-2028”,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parashikon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përfshirjen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civile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përgatitjen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programit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buxhetor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afatmesëm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2026-2028.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morën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pjesë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9 (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nëntë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95BB833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15. Sa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përqind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projektligjeve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/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akteve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nënligjore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hartuara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konsultuar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me OJF-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2EB65877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Jemi duke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hartuar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projekligj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rregullimin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ligjit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111/2017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ndihmen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garantuar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shteti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marrë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mendimi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jofitimprurëse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autorizuara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Ministri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Drejtësisë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ndryshimet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ofrimin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shërbimit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ndihmës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juridike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parësore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46CA233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16. 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përfshirë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përfaqësues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OJF-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këshillimore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po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cilat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këto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këshillimore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përfshirë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to?</w:t>
            </w:r>
          </w:p>
          <w:p w14:paraId="7697579D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>-Jo</w:t>
            </w:r>
          </w:p>
          <w:p w14:paraId="2709211E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17. 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përfshirë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grupet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punës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ngritura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po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cilat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këto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grupe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pune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OJF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përfshirë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to?</w:t>
            </w:r>
          </w:p>
          <w:p w14:paraId="244831C6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>-Jo</w:t>
            </w:r>
          </w:p>
          <w:p w14:paraId="00AA436A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18.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tryezave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Diskutimit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Këshillimit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Platformës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Partneritetit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Integrimin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Evropian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cilat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datat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format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zhvillimit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tyre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mbajtur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këto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sipas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plani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vjetor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parashikuar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1EE8DBC1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Nuk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zhvilluar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asnjë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6432EF6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19. Cila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përbërja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s aka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qënë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numri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total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pjesëmarrësve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sipas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kategorive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aktorëve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përfshirë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insitucione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publike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organizata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civile,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biznes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akademi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ekspertë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etj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.)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a ka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pasur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ndryshime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përbërje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3A6D9362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- Nuk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është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zhvilluar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asnjë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këtë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kuadër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8BBEA13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20. Si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vlerëson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juaj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funksionimin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efektivitetin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tryezës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përfshirë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temat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kryesore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trajtuara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dokumentimin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takimeve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agjenda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minuta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),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dhe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ndikimin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diskutimeve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apo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rekomandimeve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politikat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dokumentet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strategjike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ose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procesin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negociuses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kapitullin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përkatës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7B2FFCF3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21. A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keni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kryer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monitorim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zbatimit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Udhërrëfyesit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Funksionimin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Institucioneve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Demokratike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?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Nëse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po,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nga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masat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Fushës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3 “Roli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Shoqërisë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Civile”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janë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përmbushur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gjatë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vitit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2025? Ju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lutem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vini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nën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dispozicion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raportin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e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monitorimit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të</w:t>
            </w:r>
            <w:proofErr w:type="spellEnd"/>
            <w:r w:rsidRPr="00E26E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26E43">
              <w:rPr>
                <w:rFonts w:ascii="Times New Roman" w:eastAsia="Times New Roman" w:hAnsi="Times New Roman" w:cs="Times New Roman"/>
                <w:lang w:val="en-US"/>
              </w:rPr>
              <w:t>kryes</w:t>
            </w:r>
            <w:proofErr w:type="spellEnd"/>
          </w:p>
          <w:p w14:paraId="7B07DE80" w14:textId="77777777" w:rsidR="00E26E43" w:rsidRPr="00E26E43" w:rsidRDefault="00E26E43" w:rsidP="00E26E4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26E43">
              <w:rPr>
                <w:rFonts w:ascii="Times New Roman" w:eastAsia="Times New Roman" w:hAnsi="Times New Roman" w:cs="Times New Roman"/>
                <w:lang w:val="en-US"/>
              </w:rPr>
              <w:t>- Jo</w:t>
            </w:r>
          </w:p>
          <w:p w14:paraId="02E2B400" w14:textId="7C0F9BB6" w:rsidR="00917791" w:rsidRPr="005132AC" w:rsidRDefault="00917791" w:rsidP="008C185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118" w:type="dxa"/>
            <w:vAlign w:val="center"/>
          </w:tcPr>
          <w:p w14:paraId="4E201201" w14:textId="344E84F8" w:rsidR="00917791" w:rsidRPr="005132AC" w:rsidRDefault="00E26E43" w:rsidP="00917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3F5F9E70" w14:textId="5B322900" w:rsidR="00917791" w:rsidRPr="005132AC" w:rsidRDefault="00E26E43" w:rsidP="008C1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Nuk ka </w:t>
            </w:r>
          </w:p>
        </w:tc>
      </w:tr>
      <w:tr w:rsidR="00D41364" w14:paraId="0D433FAB" w14:textId="77777777" w:rsidTr="00E03AEF">
        <w:trPr>
          <w:trHeight w:val="86"/>
        </w:trPr>
        <w:tc>
          <w:tcPr>
            <w:tcW w:w="937" w:type="dxa"/>
            <w:vAlign w:val="center"/>
          </w:tcPr>
          <w:p w14:paraId="1005B7EC" w14:textId="2FEC3D1A" w:rsidR="00D41364" w:rsidRPr="00633DAD" w:rsidRDefault="00C5351C" w:rsidP="00917791">
            <w:pPr>
              <w:jc w:val="center"/>
              <w:rPr>
                <w:rFonts w:ascii="Times New Roman" w:hAnsi="Times New Roman" w:cs="Times New Roman"/>
              </w:rPr>
            </w:pPr>
            <w:r w:rsidRPr="00633D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08" w:type="dxa"/>
            <w:vAlign w:val="center"/>
          </w:tcPr>
          <w:p w14:paraId="466D9487" w14:textId="41D34BAA" w:rsidR="00D41364" w:rsidRPr="00633DAD" w:rsidRDefault="00C5351C" w:rsidP="00917791">
            <w:pPr>
              <w:jc w:val="center"/>
              <w:rPr>
                <w:rFonts w:ascii="Times New Roman" w:hAnsi="Times New Roman" w:cs="Times New Roman"/>
              </w:rPr>
            </w:pPr>
            <w:r w:rsidRPr="00633DAD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843" w:type="dxa"/>
            <w:vAlign w:val="center"/>
          </w:tcPr>
          <w:p w14:paraId="74E7D6EE" w14:textId="7EFEC937" w:rsidR="00D41364" w:rsidRPr="00633DAD" w:rsidRDefault="00C5351C" w:rsidP="00624681">
            <w:pPr>
              <w:rPr>
                <w:rFonts w:ascii="Times New Roman" w:hAnsi="Times New Roman" w:cs="Times New Roman"/>
              </w:rPr>
            </w:pPr>
            <w:proofErr w:type="spellStart"/>
            <w:r w:rsidRPr="00633DAD">
              <w:rPr>
                <w:rFonts w:ascii="Times New Roman" w:hAnsi="Times New Roman" w:cs="Times New Roman"/>
              </w:rPr>
              <w:t>Kërkesë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mbi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të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dhënat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33DAD">
              <w:rPr>
                <w:rFonts w:ascii="Times New Roman" w:hAnsi="Times New Roman" w:cs="Times New Roman"/>
              </w:rPr>
              <w:t>Koordinatorit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për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të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Drejtën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33DAD">
              <w:rPr>
                <w:rFonts w:ascii="Times New Roman" w:hAnsi="Times New Roman" w:cs="Times New Roman"/>
              </w:rPr>
              <w:t>Informimit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të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së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</w:rPr>
              <w:t>Ndihmës</w:t>
            </w:r>
            <w:proofErr w:type="spellEnd"/>
            <w:r w:rsidRPr="00633DAD">
              <w:rPr>
                <w:rFonts w:ascii="Times New Roman" w:hAnsi="Times New Roman" w:cs="Times New Roman"/>
              </w:rPr>
              <w:t xml:space="preserve"> Juridike Falas </w:t>
            </w:r>
          </w:p>
        </w:tc>
        <w:tc>
          <w:tcPr>
            <w:tcW w:w="1559" w:type="dxa"/>
            <w:vAlign w:val="center"/>
          </w:tcPr>
          <w:p w14:paraId="7D2D6B22" w14:textId="05DAE57E" w:rsidR="00D41364" w:rsidRPr="00633DAD" w:rsidRDefault="00C5351C" w:rsidP="00917791">
            <w:pPr>
              <w:jc w:val="center"/>
              <w:rPr>
                <w:rFonts w:ascii="Times New Roman" w:hAnsi="Times New Roman" w:cs="Times New Roman"/>
              </w:rPr>
            </w:pPr>
            <w:r w:rsidRPr="00633DAD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5685" w:type="dxa"/>
            <w:vAlign w:val="center"/>
          </w:tcPr>
          <w:p w14:paraId="34DDCFF4" w14:textId="77777777" w:rsidR="00C5351C" w:rsidRPr="00633DAD" w:rsidRDefault="00C5351C" w:rsidP="00C5351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Postin e 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Koordiatores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për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të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Drejtën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e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Informimit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pranë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Drejtorisë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së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Ndihmës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Juridike Falas e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mban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znj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33D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Helga Çela</w:t>
            </w:r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14:paraId="3C7F9B3B" w14:textId="77777777" w:rsidR="00C5351C" w:rsidRPr="00633DAD" w:rsidRDefault="00C5351C" w:rsidP="00C5351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33D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Adresa e </w:t>
            </w:r>
            <w:proofErr w:type="spellStart"/>
            <w:r w:rsidRPr="00633D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emailit</w:t>
            </w:r>
            <w:proofErr w:type="spellEnd"/>
            <w:r w:rsidRPr="00633D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helga.cela@drejtesia.gov.al</w:t>
            </w:r>
          </w:p>
          <w:p w14:paraId="5273EF29" w14:textId="77777777" w:rsidR="00E03AEF" w:rsidRPr="00633DAD" w:rsidRDefault="00E03AEF" w:rsidP="00E03AEF">
            <w:pPr>
              <w:jc w:val="both"/>
              <w:rPr>
                <w:rFonts w:ascii="Times New Roman" w:hAnsi="Times New Roman" w:cs="Times New Roman"/>
              </w:rPr>
            </w:pPr>
          </w:p>
          <w:p w14:paraId="06EEDD30" w14:textId="77777777" w:rsidR="00D41364" w:rsidRPr="00633DAD" w:rsidRDefault="00E03AEF" w:rsidP="00E03AEF">
            <w:pPr>
              <w:jc w:val="both"/>
              <w:rPr>
                <w:rFonts w:ascii="Times New Roman" w:hAnsi="Times New Roman" w:cs="Times New Roman"/>
              </w:rPr>
            </w:pPr>
            <w:r w:rsidRPr="00633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4A8309D" w14:textId="5D6732A2" w:rsidR="00D41364" w:rsidRPr="00633DAD" w:rsidRDefault="00C5351C" w:rsidP="00917791">
            <w:pPr>
              <w:jc w:val="center"/>
              <w:rPr>
                <w:rFonts w:ascii="Times New Roman" w:hAnsi="Times New Roman" w:cs="Times New Roman"/>
              </w:rPr>
            </w:pPr>
            <w:r w:rsidRPr="00633DAD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633DAD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135DB707" w14:textId="5182016A" w:rsidR="00D41364" w:rsidRPr="00633DAD" w:rsidRDefault="00C5351C" w:rsidP="00917791">
            <w:pPr>
              <w:jc w:val="center"/>
              <w:rPr>
                <w:rFonts w:ascii="Times New Roman" w:hAnsi="Times New Roman" w:cs="Times New Roman"/>
              </w:rPr>
            </w:pPr>
            <w:r w:rsidRPr="00633DAD">
              <w:rPr>
                <w:rFonts w:ascii="Times New Roman" w:hAnsi="Times New Roman" w:cs="Times New Roman"/>
              </w:rPr>
              <w:t xml:space="preserve">Nuk ka </w:t>
            </w:r>
          </w:p>
        </w:tc>
      </w:tr>
    </w:tbl>
    <w:p w14:paraId="7967692E" w14:textId="77777777" w:rsidR="00917791" w:rsidRDefault="00917791">
      <w:pPr>
        <w:rPr>
          <w:rFonts w:ascii="Times New Roman" w:hAnsi="Times New Roman" w:cs="Times New Roman"/>
          <w:sz w:val="24"/>
          <w:szCs w:val="24"/>
        </w:rPr>
      </w:pPr>
    </w:p>
    <w:p w14:paraId="637357AB" w14:textId="77777777" w:rsidR="0036752F" w:rsidRDefault="0036752F" w:rsidP="00040AA9">
      <w:pPr>
        <w:rPr>
          <w:rFonts w:ascii="Times New Roman" w:hAnsi="Times New Roman" w:cs="Times New Roman"/>
          <w:sz w:val="24"/>
          <w:szCs w:val="24"/>
        </w:rPr>
      </w:pPr>
    </w:p>
    <w:p w14:paraId="5AF71569" w14:textId="3BD585D7" w:rsidR="00040AA9" w:rsidRPr="00040AA9" w:rsidRDefault="00040AA9" w:rsidP="00040A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0AA9">
        <w:rPr>
          <w:rFonts w:ascii="Times New Roman" w:hAnsi="Times New Roman" w:cs="Times New Roman"/>
          <w:sz w:val="24"/>
          <w:szCs w:val="24"/>
        </w:rPr>
        <w:t>Përditësimi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Regjistri</w:t>
      </w:r>
      <w:r w:rsidR="00736B4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Përgjigjeve</w:t>
      </w:r>
      <w:proofErr w:type="spellEnd"/>
      <w:r w:rsidR="003439F3">
        <w:rPr>
          <w:rFonts w:ascii="Times New Roman" w:hAnsi="Times New Roman" w:cs="Times New Roman"/>
          <w:sz w:val="24"/>
          <w:szCs w:val="24"/>
        </w:rPr>
        <w:t xml:space="preserve">: </w:t>
      </w:r>
      <w:r w:rsidR="00E40FEC">
        <w:rPr>
          <w:rFonts w:ascii="Times New Roman" w:hAnsi="Times New Roman" w:cs="Times New Roman"/>
          <w:sz w:val="24"/>
          <w:szCs w:val="24"/>
        </w:rPr>
        <w:t xml:space="preserve"> </w:t>
      </w:r>
      <w:r w:rsidR="00C5351C">
        <w:rPr>
          <w:rFonts w:ascii="Times New Roman" w:hAnsi="Times New Roman" w:cs="Times New Roman"/>
          <w:b/>
          <w:sz w:val="24"/>
          <w:szCs w:val="24"/>
        </w:rPr>
        <w:t>11.05.2026</w:t>
      </w:r>
    </w:p>
    <w:p w14:paraId="53FD3243" w14:textId="77777777" w:rsidR="0019198E" w:rsidRDefault="0019198E" w:rsidP="00191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E1B5E" w14:textId="77777777" w:rsidR="0019198E" w:rsidRDefault="0019198E" w:rsidP="0019198E">
      <w:pPr>
        <w:rPr>
          <w:rFonts w:ascii="Times New Roman" w:hAnsi="Times New Roman" w:cs="Times New Roman"/>
          <w:i/>
          <w:sz w:val="24"/>
          <w:szCs w:val="24"/>
        </w:rPr>
      </w:pPr>
      <w:r w:rsidRP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Ko                                                                                </w:t>
      </w:r>
      <w:r w:rsid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</w:t>
      </w:r>
      <w:r w:rsidRP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Koordinatori</w:t>
      </w:r>
      <w:proofErr w:type="spellEnd"/>
      <w:r w:rsidR="00040AA9" w:rsidRPr="008C1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040AA9" w:rsidRPr="008C1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040AA9" w:rsidRPr="008C1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="00040AA9" w:rsidRPr="008C185C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14:paraId="07ECB5A0" w14:textId="77777777" w:rsidR="0019198E" w:rsidRDefault="0019198E" w:rsidP="0019198E">
      <w:pPr>
        <w:rPr>
          <w:rFonts w:ascii="Times New Roman" w:hAnsi="Times New Roman" w:cs="Times New Roman"/>
          <w:i/>
          <w:sz w:val="24"/>
          <w:szCs w:val="24"/>
        </w:rPr>
      </w:pPr>
      <w:r w:rsidRPr="001919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3AF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                                                              </w:t>
      </w:r>
      <w:r w:rsid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       </w:t>
      </w:r>
      <w:r w:rsidRPr="005C3AF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</w:t>
      </w:r>
      <w:proofErr w:type="spellStart"/>
      <w:r w:rsidRPr="0019198E">
        <w:rPr>
          <w:rFonts w:ascii="Times New Roman" w:hAnsi="Times New Roman" w:cs="Times New Roman"/>
          <w:i/>
          <w:sz w:val="24"/>
          <w:szCs w:val="24"/>
        </w:rPr>
        <w:t>Drejtoria</w:t>
      </w:r>
      <w:proofErr w:type="spellEnd"/>
      <w:r w:rsidRPr="0019198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9198E">
        <w:rPr>
          <w:rFonts w:ascii="Times New Roman" w:hAnsi="Times New Roman" w:cs="Times New Roman"/>
          <w:i/>
          <w:sz w:val="24"/>
          <w:szCs w:val="24"/>
        </w:rPr>
        <w:t>Ndihmës</w:t>
      </w:r>
      <w:proofErr w:type="spellEnd"/>
      <w:r w:rsidRPr="001919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98E">
        <w:rPr>
          <w:rFonts w:ascii="Times New Roman" w:hAnsi="Times New Roman" w:cs="Times New Roman"/>
          <w:i/>
          <w:sz w:val="24"/>
          <w:szCs w:val="24"/>
        </w:rPr>
        <w:t>Juridike</w:t>
      </w:r>
      <w:proofErr w:type="spellEnd"/>
      <w:r w:rsidRPr="0019198E">
        <w:rPr>
          <w:rFonts w:ascii="Times New Roman" w:hAnsi="Times New Roman" w:cs="Times New Roman"/>
          <w:i/>
          <w:sz w:val="24"/>
          <w:szCs w:val="24"/>
        </w:rPr>
        <w:t xml:space="preserve"> Falas</w:t>
      </w:r>
    </w:p>
    <w:p w14:paraId="1F0071C0" w14:textId="77777777" w:rsidR="00040AA9" w:rsidRPr="0019198E" w:rsidRDefault="0019198E" w:rsidP="0019198E">
      <w:pPr>
        <w:rPr>
          <w:rFonts w:ascii="Times New Roman" w:hAnsi="Times New Roman" w:cs="Times New Roman"/>
          <w:i/>
          <w:sz w:val="24"/>
          <w:szCs w:val="24"/>
        </w:rPr>
      </w:pPr>
      <w:r w:rsidRPr="005C3AF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Mira                                                                                                          </w:t>
      </w:r>
      <w:r w:rsid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  </w:t>
      </w:r>
      <w:r w:rsidR="00624681" w:rsidRPr="0019198E">
        <w:rPr>
          <w:rFonts w:ascii="Times New Roman" w:hAnsi="Times New Roman" w:cs="Times New Roman"/>
          <w:i/>
          <w:sz w:val="24"/>
          <w:szCs w:val="24"/>
        </w:rPr>
        <w:t>Helga Çela</w:t>
      </w:r>
    </w:p>
    <w:sectPr w:rsidR="00040AA9" w:rsidRPr="0019198E" w:rsidSect="008C185C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88E"/>
    <w:multiLevelType w:val="hybridMultilevel"/>
    <w:tmpl w:val="5208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0E99"/>
    <w:multiLevelType w:val="multilevel"/>
    <w:tmpl w:val="6BD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142D9"/>
    <w:multiLevelType w:val="hybridMultilevel"/>
    <w:tmpl w:val="82A8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3164A"/>
    <w:multiLevelType w:val="hybridMultilevel"/>
    <w:tmpl w:val="77DA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447CA"/>
    <w:multiLevelType w:val="multilevel"/>
    <w:tmpl w:val="8338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2710111">
    <w:abstractNumId w:val="3"/>
  </w:num>
  <w:num w:numId="2" w16cid:durableId="1658024840">
    <w:abstractNumId w:val="2"/>
  </w:num>
  <w:num w:numId="3" w16cid:durableId="977144433">
    <w:abstractNumId w:val="0"/>
  </w:num>
  <w:num w:numId="4" w16cid:durableId="1336424412">
    <w:abstractNumId w:val="4"/>
  </w:num>
  <w:num w:numId="5" w16cid:durableId="192684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91"/>
    <w:rsid w:val="00040AA9"/>
    <w:rsid w:val="000576F6"/>
    <w:rsid w:val="00064811"/>
    <w:rsid w:val="000B5AD0"/>
    <w:rsid w:val="0019198E"/>
    <w:rsid w:val="001955A6"/>
    <w:rsid w:val="001E0873"/>
    <w:rsid w:val="00256309"/>
    <w:rsid w:val="002A4740"/>
    <w:rsid w:val="003439F3"/>
    <w:rsid w:val="00347255"/>
    <w:rsid w:val="0036752F"/>
    <w:rsid w:val="003C7E18"/>
    <w:rsid w:val="004F1061"/>
    <w:rsid w:val="005132AC"/>
    <w:rsid w:val="005C3AF5"/>
    <w:rsid w:val="005E0CB6"/>
    <w:rsid w:val="00622B10"/>
    <w:rsid w:val="00624681"/>
    <w:rsid w:val="00633DAD"/>
    <w:rsid w:val="0064246B"/>
    <w:rsid w:val="0068056D"/>
    <w:rsid w:val="00687716"/>
    <w:rsid w:val="006A0E1B"/>
    <w:rsid w:val="00736B42"/>
    <w:rsid w:val="00771929"/>
    <w:rsid w:val="008C185C"/>
    <w:rsid w:val="008C1A62"/>
    <w:rsid w:val="008F1DD1"/>
    <w:rsid w:val="00917791"/>
    <w:rsid w:val="00A33311"/>
    <w:rsid w:val="00A67ED1"/>
    <w:rsid w:val="00AF3543"/>
    <w:rsid w:val="00BC3968"/>
    <w:rsid w:val="00BD1702"/>
    <w:rsid w:val="00C5351C"/>
    <w:rsid w:val="00C803AC"/>
    <w:rsid w:val="00CD3BF6"/>
    <w:rsid w:val="00CE137C"/>
    <w:rsid w:val="00D04553"/>
    <w:rsid w:val="00D41364"/>
    <w:rsid w:val="00DA516F"/>
    <w:rsid w:val="00DE0CFB"/>
    <w:rsid w:val="00DE1891"/>
    <w:rsid w:val="00E03AEF"/>
    <w:rsid w:val="00E23FF5"/>
    <w:rsid w:val="00E26E43"/>
    <w:rsid w:val="00E40FEC"/>
    <w:rsid w:val="00E937D5"/>
    <w:rsid w:val="00F51015"/>
    <w:rsid w:val="00FA3B2A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CBF9"/>
  <w15:chartTrackingRefBased/>
  <w15:docId w15:val="{9C1DA49E-D358-48C7-A057-C1D32DC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AA9"/>
    <w:pPr>
      <w:keepNext/>
      <w:outlineLvl w:val="2"/>
    </w:pPr>
    <w:rPr>
      <w:rFonts w:ascii="Times New Roman" w:hAnsi="Times New Roman" w:cs="Times New Roman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0AA9"/>
    <w:pPr>
      <w:keepNext/>
      <w:spacing w:line="240" w:lineRule="auto"/>
      <w:outlineLvl w:val="3"/>
    </w:pPr>
    <w:rPr>
      <w:rFonts w:ascii="Times New Roman" w:hAnsi="Times New Roman" w:cs="Times New Roman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0AA9"/>
    <w:pPr>
      <w:keepNext/>
      <w:jc w:val="center"/>
      <w:outlineLvl w:val="4"/>
    </w:pPr>
    <w:rPr>
      <w:rFonts w:ascii="Times New Roman" w:hAnsi="Times New Roman" w:cs="Times New Roman"/>
      <w:i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2B10"/>
    <w:pPr>
      <w:keepNext/>
      <w:jc w:val="center"/>
      <w:outlineLvl w:val="5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3311"/>
    <w:pPr>
      <w:keepNext/>
      <w:contextualSpacing/>
      <w:jc w:val="center"/>
      <w:outlineLvl w:val="6"/>
    </w:pPr>
    <w:rPr>
      <w:rFonts w:ascii="Times New Roman" w:hAnsi="Times New Roman" w:cs="Times New Roman"/>
      <w:b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7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7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917791"/>
    <w:rPr>
      <w:b/>
      <w:bCs/>
      <w:smallCaps/>
      <w:color w:val="5B9BD5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40AA9"/>
    <w:rPr>
      <w:rFonts w:ascii="Times New Roman" w:hAnsi="Times New Roman" w:cs="Times New Roman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040AA9"/>
    <w:rPr>
      <w:rFonts w:ascii="Times New Roman" w:hAnsi="Times New Roman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40AA9"/>
    <w:rPr>
      <w:rFonts w:ascii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42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22B10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33311"/>
    <w:pPr>
      <w:jc w:val="center"/>
    </w:pPr>
    <w:rPr>
      <w:rFonts w:ascii="Times New Roman" w:hAnsi="Times New Roman" w:cs="Times New Roman"/>
      <w:b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A33311"/>
    <w:rPr>
      <w:rFonts w:ascii="Times New Roman" w:hAnsi="Times New Roman" w:cs="Times New Roman"/>
      <w:b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A33311"/>
    <w:rPr>
      <w:rFonts w:ascii="Times New Roman" w:hAnsi="Times New Roman" w:cs="Times New Roman"/>
      <w:b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E03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6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E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0BB0-E7F8-4AB9-A33A-08CA53A4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Nurcelli</dc:creator>
  <cp:keywords/>
  <dc:description/>
  <cp:lastModifiedBy>Helga Cela</cp:lastModifiedBy>
  <cp:revision>3</cp:revision>
  <cp:lastPrinted>2025-11-04T12:06:00Z</cp:lastPrinted>
  <dcterms:created xsi:type="dcterms:W3CDTF">2026-05-11T08:18:00Z</dcterms:created>
  <dcterms:modified xsi:type="dcterms:W3CDTF">2026-05-11T08:19:00Z</dcterms:modified>
</cp:coreProperties>
</file>